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C6701E"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C6701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C6701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C6701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C6701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C6701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C6701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C6701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C6701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C6701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C6701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C6701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C6701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C6701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C6701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C6701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C6701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299D494" w14:textId="77777777" w:rsidR="0072301F" w:rsidRPr="00E74967" w:rsidRDefault="0072301F" w:rsidP="00CB41C4">
      <w:pPr>
        <w:tabs>
          <w:tab w:val="left" w:leader="underscore" w:pos="9639"/>
        </w:tabs>
        <w:spacing w:after="0" w:line="240" w:lineRule="auto"/>
        <w:jc w:val="both"/>
        <w:rPr>
          <w:rFonts w:cs="Calibri"/>
        </w:rPr>
      </w:pPr>
    </w:p>
    <w:p w14:paraId="30CA793D" w14:textId="77777777" w:rsidR="0072301F" w:rsidRDefault="0072301F" w:rsidP="0072301F">
      <w:pPr>
        <w:spacing w:after="0" w:line="240" w:lineRule="auto"/>
        <w:jc w:val="both"/>
        <w:rPr>
          <w:rFonts w:asciiTheme="minorHAnsi" w:hAnsiTheme="minorHAnsi" w:cstheme="minorHAnsi"/>
          <w:color w:val="000000"/>
          <w:u w:val="single"/>
          <w:shd w:val="clear" w:color="auto" w:fill="FFFFFF"/>
        </w:rPr>
      </w:pPr>
      <w:r w:rsidRPr="00D844C6">
        <w:rPr>
          <w:rFonts w:asciiTheme="minorHAnsi" w:hAnsiTheme="minorHAnsi" w:cstheme="minorHAnsi"/>
          <w:color w:val="000000"/>
          <w:u w:val="single"/>
          <w:shd w:val="clear" w:color="auto" w:fill="FFFFFF"/>
        </w:rPr>
        <w:t>Agricultura, comercio y crianza de ganado, son las principales actividades económicas del municipio de Xichú, Gto., la migración es parte de la vida diaria, el clima en la zona baja es cálido, lo que permite la diversidad en la producción agrícola; café, aguacate, mango, caña de azúcar, nuez y manzana, son parte de los productos que cosechan.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6FFC848" w14:textId="77777777" w:rsidR="0072301F" w:rsidRPr="00E74967" w:rsidRDefault="0072301F" w:rsidP="00CB41C4">
      <w:pPr>
        <w:tabs>
          <w:tab w:val="left" w:leader="underscore" w:pos="9639"/>
        </w:tabs>
        <w:spacing w:after="0" w:line="240" w:lineRule="auto"/>
        <w:jc w:val="both"/>
        <w:rPr>
          <w:rFonts w:cs="Calibri"/>
        </w:rPr>
      </w:pPr>
    </w:p>
    <w:p w14:paraId="526F6844" w14:textId="7049E6F5" w:rsidR="0072301F" w:rsidRDefault="0072301F" w:rsidP="0072301F">
      <w:pPr>
        <w:jc w:val="both"/>
        <w:rPr>
          <w:u w:val="single"/>
        </w:rPr>
      </w:pPr>
      <w:r w:rsidRPr="00CD365B">
        <w:rPr>
          <w:u w:val="single"/>
        </w:rPr>
        <w:t>La población del municipio de Xichú</w:t>
      </w:r>
      <w:r>
        <w:rPr>
          <w:u w:val="single"/>
        </w:rPr>
        <w:t>, G</w:t>
      </w:r>
      <w:r w:rsidRPr="00CD365B">
        <w:rPr>
          <w:u w:val="single"/>
        </w:rPr>
        <w:t>to</w:t>
      </w:r>
      <w:r>
        <w:rPr>
          <w:u w:val="single"/>
        </w:rPr>
        <w:t>.,</w:t>
      </w:r>
      <w:r w:rsidRPr="00CD365B">
        <w:rPr>
          <w:u w:val="single"/>
        </w:rPr>
        <w:t xml:space="preserve"> según</w:t>
      </w:r>
      <w:r>
        <w:rPr>
          <w:u w:val="single"/>
        </w:rPr>
        <w:t xml:space="preserve"> el Censo 2015 es de 11 mil 639</w:t>
      </w:r>
      <w:r w:rsidRPr="00CD365B">
        <w:rPr>
          <w:u w:val="single"/>
        </w:rPr>
        <w:t xml:space="preserve"> personas, de éstos, </w:t>
      </w:r>
      <w:r>
        <w:rPr>
          <w:u w:val="single"/>
        </w:rPr>
        <w:t>el 47% son hombres</w:t>
      </w:r>
      <w:r w:rsidRPr="00CD365B">
        <w:rPr>
          <w:u w:val="single"/>
        </w:rPr>
        <w:t xml:space="preserve"> mien</w:t>
      </w:r>
      <w:r>
        <w:rPr>
          <w:u w:val="single"/>
        </w:rPr>
        <w:t>tras las mujeres tienen un porcentaje del 53%</w:t>
      </w:r>
      <w:r w:rsidR="00610280">
        <w:rPr>
          <w:u w:val="single"/>
        </w:rPr>
        <w:t xml:space="preserve">. </w:t>
      </w:r>
      <w:r w:rsidRPr="00CD365B">
        <w:rPr>
          <w:u w:val="single"/>
        </w:rPr>
        <w:t xml:space="preserve"> </w:t>
      </w:r>
    </w:p>
    <w:p w14:paraId="27C5D278" w14:textId="75D3B5D1" w:rsidR="00EB7C79" w:rsidRDefault="00EB7C79" w:rsidP="0072301F">
      <w:pPr>
        <w:jc w:val="both"/>
        <w:rPr>
          <w:u w:val="single"/>
        </w:rPr>
      </w:pPr>
      <w:r>
        <w:rPr>
          <w:u w:val="single"/>
        </w:rPr>
        <w:t>La población</w:t>
      </w:r>
      <w:r w:rsidR="00737CE4">
        <w:rPr>
          <w:u w:val="single"/>
        </w:rPr>
        <w:t xml:space="preserve"> de 12 años y más</w:t>
      </w:r>
      <w:r>
        <w:rPr>
          <w:u w:val="single"/>
        </w:rPr>
        <w:t xml:space="preserve"> </w:t>
      </w:r>
      <w:r w:rsidR="00633170">
        <w:rPr>
          <w:u w:val="single"/>
        </w:rPr>
        <w:t>es de 8,607 habitantes, 2,190</w:t>
      </w:r>
      <w:r w:rsidR="00737CE4">
        <w:rPr>
          <w:u w:val="single"/>
        </w:rPr>
        <w:t xml:space="preserve"> de los habitantes esta económica activa, exhibiendo que del total un 77.7% está ocupada y el 22.3% está desocupada, mientras que  6,376 de los habitantes no está económicamente activa y 0.5% de la población no especifica.</w:t>
      </w:r>
    </w:p>
    <w:p w14:paraId="79F5C0E5" w14:textId="66AAE7E8" w:rsidR="003311C2" w:rsidRDefault="002E690F" w:rsidP="0072301F">
      <w:pPr>
        <w:jc w:val="both"/>
        <w:rPr>
          <w:u w:val="single"/>
        </w:rPr>
      </w:pPr>
      <w:r>
        <w:rPr>
          <w:u w:val="single"/>
        </w:rPr>
        <w:t xml:space="preserve">De acuerdo al </w:t>
      </w:r>
      <w:r w:rsidR="00737CE4">
        <w:rPr>
          <w:u w:val="single"/>
        </w:rPr>
        <w:t>censo</w:t>
      </w:r>
      <w:r>
        <w:rPr>
          <w:u w:val="single"/>
        </w:rPr>
        <w:t xml:space="preserve"> 2015 de INEGI, se muestran los siguientes </w:t>
      </w:r>
      <w:r w:rsidR="004B14A7">
        <w:rPr>
          <w:u w:val="single"/>
        </w:rPr>
        <w:t>datos:</w:t>
      </w:r>
      <w:r>
        <w:rPr>
          <w:u w:val="single"/>
        </w:rPr>
        <w:t xml:space="preserve"> </w:t>
      </w:r>
    </w:p>
    <w:p w14:paraId="244B0EFE" w14:textId="26B15356" w:rsidR="002E690F" w:rsidRDefault="002E690F" w:rsidP="002E690F">
      <w:pPr>
        <w:pStyle w:val="Prrafodelista"/>
        <w:numPr>
          <w:ilvl w:val="0"/>
          <w:numId w:val="2"/>
        </w:numPr>
        <w:jc w:val="both"/>
        <w:rPr>
          <w:u w:val="single"/>
        </w:rPr>
      </w:pPr>
      <w:r w:rsidRPr="002E690F">
        <w:rPr>
          <w:u w:val="single"/>
        </w:rPr>
        <w:t>Grado promedio de escolaridad de la población de 15 y más años</w:t>
      </w:r>
      <w:r w:rsidR="007B314B">
        <w:rPr>
          <w:u w:val="single"/>
        </w:rPr>
        <w:t xml:space="preserve"> en el municipio era en 2015 de 5.9.</w:t>
      </w:r>
      <w:r w:rsidRPr="002E690F">
        <w:rPr>
          <w:u w:val="single"/>
        </w:rPr>
        <w:t xml:space="preserve"> </w:t>
      </w:r>
    </w:p>
    <w:p w14:paraId="1164B567" w14:textId="420ECD14" w:rsidR="007B314B" w:rsidRPr="004B14A7" w:rsidRDefault="007B314B" w:rsidP="007B314B">
      <w:pPr>
        <w:pStyle w:val="Prrafodelista"/>
        <w:numPr>
          <w:ilvl w:val="0"/>
          <w:numId w:val="2"/>
        </w:numPr>
        <w:jc w:val="both"/>
        <w:rPr>
          <w:rFonts w:asciiTheme="minorHAnsi" w:hAnsiTheme="minorHAnsi"/>
          <w:u w:val="single"/>
        </w:rPr>
      </w:pPr>
      <w:r>
        <w:rPr>
          <w:u w:val="single"/>
        </w:rPr>
        <w:t xml:space="preserve">El </w:t>
      </w:r>
      <w:r w:rsidRPr="007B314B">
        <w:rPr>
          <w:u w:val="single"/>
        </w:rPr>
        <w:t>Porcentaje de población de 25 años y más a</w:t>
      </w:r>
      <w:r w:rsidR="00542302">
        <w:rPr>
          <w:u w:val="single"/>
        </w:rPr>
        <w:t>na</w:t>
      </w:r>
      <w:r w:rsidRPr="007B314B">
        <w:rPr>
          <w:u w:val="single"/>
        </w:rPr>
        <w:t xml:space="preserve">lfabeta </w:t>
      </w:r>
      <w:r>
        <w:rPr>
          <w:u w:val="single"/>
        </w:rPr>
        <w:t>ocupa un Porcentaje de 73.4</w:t>
      </w:r>
      <w:proofErr w:type="gramStart"/>
      <w:r>
        <w:rPr>
          <w:u w:val="single"/>
        </w:rPr>
        <w:t>% .</w:t>
      </w:r>
      <w:proofErr w:type="gramEnd"/>
    </w:p>
    <w:p w14:paraId="2C9CCB95" w14:textId="458F9D20" w:rsidR="007B314B" w:rsidRPr="004B14A7" w:rsidRDefault="004B14A7" w:rsidP="004B14A7">
      <w:pPr>
        <w:pStyle w:val="Prrafodelista"/>
        <w:numPr>
          <w:ilvl w:val="0"/>
          <w:numId w:val="2"/>
        </w:numPr>
        <w:jc w:val="both"/>
        <w:rPr>
          <w:rFonts w:asciiTheme="minorHAnsi" w:hAnsiTheme="minorHAnsi"/>
          <w:u w:val="single"/>
        </w:rPr>
      </w:pPr>
      <w:r>
        <w:rPr>
          <w:rFonts w:asciiTheme="minorHAnsi" w:hAnsiTheme="minorHAnsi"/>
          <w:u w:val="single"/>
        </w:rPr>
        <w:t xml:space="preserve">Dentro del mismo </w:t>
      </w:r>
      <w:proofErr w:type="gramStart"/>
      <w:r>
        <w:rPr>
          <w:rFonts w:asciiTheme="minorHAnsi" w:hAnsiTheme="minorHAnsi"/>
          <w:u w:val="single"/>
        </w:rPr>
        <w:t>año ,</w:t>
      </w:r>
      <w:proofErr w:type="gramEnd"/>
      <w:r>
        <w:rPr>
          <w:rFonts w:asciiTheme="minorHAnsi" w:hAnsiTheme="minorHAnsi"/>
          <w:u w:val="single"/>
        </w:rPr>
        <w:t xml:space="preserve"> el p</w:t>
      </w:r>
      <w:r w:rsidRPr="004B14A7">
        <w:rPr>
          <w:rFonts w:asciiTheme="minorHAnsi" w:hAnsiTheme="minorHAnsi"/>
          <w:u w:val="single"/>
        </w:rPr>
        <w:t xml:space="preserve">orcentaje de la población derechohabiente en el Seguro popular </w:t>
      </w:r>
      <w:r>
        <w:rPr>
          <w:rFonts w:asciiTheme="minorHAnsi" w:hAnsiTheme="minorHAnsi"/>
          <w:u w:val="single"/>
        </w:rPr>
        <w:t>que goza de los servicios es de 97.4</w:t>
      </w:r>
      <w:r w:rsidR="00737CE4">
        <w:rPr>
          <w:rFonts w:asciiTheme="minorHAnsi" w:hAnsiTheme="minorHAnsi"/>
          <w:u w:val="single"/>
        </w:rPr>
        <w:t>%</w:t>
      </w:r>
      <w:r>
        <w:rPr>
          <w:rFonts w:asciiTheme="minorHAnsi" w:hAnsiTheme="minorHAnsi"/>
          <w:u w:val="single"/>
        </w:rPr>
        <w:t>.</w:t>
      </w:r>
    </w:p>
    <w:p w14:paraId="7E9CF982" w14:textId="026B0EF1" w:rsidR="00B722E7" w:rsidRPr="00B722E7" w:rsidRDefault="003311C2" w:rsidP="00B722E7">
      <w:pPr>
        <w:jc w:val="both"/>
        <w:rPr>
          <w:rFonts w:asciiTheme="minorHAnsi" w:hAnsiTheme="minorHAnsi"/>
          <w:u w:val="single"/>
        </w:rPr>
      </w:pPr>
      <w:r w:rsidRPr="007B314B">
        <w:rPr>
          <w:rFonts w:asciiTheme="minorHAnsi" w:eastAsia="Times New Roman" w:hAnsiTheme="minorHAnsi" w:cs="Arial"/>
          <w:color w:val="000000"/>
          <w:u w:val="single"/>
          <w:lang w:eastAsia="es-MX"/>
        </w:rPr>
        <w:t xml:space="preserve">El Consejo Nacional de Evaluación de la Política de Desarrollo Social (CONEVAL) da a conocer a la ciudadanía la medición de pobreza a nivel municipal en 2015 y su comparativo con el año 2010. </w:t>
      </w:r>
      <w:r w:rsidR="00B722E7">
        <w:rPr>
          <w:rFonts w:asciiTheme="minorHAnsi" w:hAnsiTheme="minorHAnsi"/>
          <w:u w:val="single"/>
        </w:rPr>
        <w:t>L</w:t>
      </w:r>
      <w:r w:rsidR="00B722E7" w:rsidRPr="00B722E7">
        <w:rPr>
          <w:rFonts w:asciiTheme="minorHAnsi" w:hAnsiTheme="minorHAnsi"/>
          <w:u w:val="single"/>
        </w:rPr>
        <w:t>a Situación de Pobreza y Rezago Social en el municipio de Xichú destaca</w:t>
      </w:r>
      <w:r w:rsidR="00B722E7">
        <w:rPr>
          <w:rFonts w:asciiTheme="minorHAnsi" w:hAnsiTheme="minorHAnsi"/>
          <w:u w:val="single"/>
        </w:rPr>
        <w:t xml:space="preserve"> la reducción del porcentaje de </w:t>
      </w:r>
      <w:r w:rsidR="00B722E7" w:rsidRPr="00B722E7">
        <w:rPr>
          <w:rFonts w:asciiTheme="minorHAnsi" w:hAnsiTheme="minorHAnsi"/>
          <w:u w:val="single"/>
        </w:rPr>
        <w:t xml:space="preserve">la población en condición de pobreza extrema en el periodo comprendido, </w:t>
      </w:r>
      <w:r w:rsidR="00B722E7">
        <w:rPr>
          <w:rFonts w:asciiTheme="minorHAnsi" w:hAnsiTheme="minorHAnsi"/>
          <w:u w:val="single"/>
        </w:rPr>
        <w:t xml:space="preserve">el cual pasó de 21.15% a 8.34%, </w:t>
      </w:r>
      <w:r w:rsidR="00B722E7" w:rsidRPr="00B722E7">
        <w:rPr>
          <w:rFonts w:asciiTheme="minorHAnsi" w:hAnsiTheme="minorHAnsi"/>
          <w:u w:val="single"/>
        </w:rPr>
        <w:t>lo que representa un decremento de 12.81 puntos porcentuales.</w:t>
      </w:r>
    </w:p>
    <w:p w14:paraId="53481013" w14:textId="77777777" w:rsidR="008D1ADD" w:rsidRDefault="00B722E7" w:rsidP="00B722E7">
      <w:pPr>
        <w:jc w:val="both"/>
        <w:rPr>
          <w:rFonts w:asciiTheme="minorHAnsi" w:hAnsiTheme="minorHAnsi"/>
          <w:u w:val="single"/>
        </w:rPr>
      </w:pPr>
      <w:r w:rsidRPr="00B722E7">
        <w:rPr>
          <w:rFonts w:asciiTheme="minorHAnsi" w:hAnsiTheme="minorHAnsi"/>
          <w:u w:val="single"/>
        </w:rPr>
        <w:t xml:space="preserve">Los esfuerzos para abatir la pobreza y garantizar el ejercicio de los derechos sociales en el </w:t>
      </w:r>
      <w:r>
        <w:rPr>
          <w:rFonts w:asciiTheme="minorHAnsi" w:hAnsiTheme="minorHAnsi"/>
          <w:u w:val="single"/>
        </w:rPr>
        <w:t>municipio pueden percibirse por</w:t>
      </w:r>
      <w:r w:rsidR="00344FC5">
        <w:rPr>
          <w:rFonts w:asciiTheme="minorHAnsi" w:hAnsiTheme="minorHAnsi"/>
          <w:u w:val="single"/>
        </w:rPr>
        <w:t xml:space="preserve"> </w:t>
      </w:r>
      <w:r w:rsidRPr="00B722E7">
        <w:rPr>
          <w:rFonts w:asciiTheme="minorHAnsi" w:hAnsiTheme="minorHAnsi"/>
          <w:u w:val="single"/>
        </w:rPr>
        <w:t xml:space="preserve">medio de la disminución consistente de cada una de las carencias. </w:t>
      </w:r>
    </w:p>
    <w:p w14:paraId="25E2E09A" w14:textId="77777777" w:rsidR="008D1ADD" w:rsidRDefault="00344FC5" w:rsidP="008D1ADD">
      <w:pPr>
        <w:pStyle w:val="Prrafodelista"/>
        <w:numPr>
          <w:ilvl w:val="0"/>
          <w:numId w:val="4"/>
        </w:numPr>
        <w:jc w:val="both"/>
        <w:rPr>
          <w:rFonts w:asciiTheme="minorHAnsi" w:hAnsiTheme="minorHAnsi"/>
          <w:u w:val="single"/>
        </w:rPr>
      </w:pPr>
      <w:r w:rsidRPr="008D1ADD">
        <w:rPr>
          <w:rFonts w:asciiTheme="minorHAnsi" w:hAnsiTheme="minorHAnsi"/>
          <w:u w:val="single"/>
        </w:rPr>
        <w:t>A</w:t>
      </w:r>
      <w:r w:rsidR="00B722E7" w:rsidRPr="008D1ADD">
        <w:rPr>
          <w:rFonts w:asciiTheme="minorHAnsi" w:hAnsiTheme="minorHAnsi"/>
          <w:u w:val="single"/>
        </w:rPr>
        <w:t xml:space="preserve">cceso a servicios básicos en la vivienda, la cual pasó de 53.95% a 41.68%, lo que representa una reducción de 12.28 puntos porcentuales. </w:t>
      </w:r>
    </w:p>
    <w:p w14:paraId="21D371D6" w14:textId="77777777" w:rsidR="008D1ADD" w:rsidRDefault="00B722E7" w:rsidP="008D1ADD">
      <w:pPr>
        <w:pStyle w:val="Prrafodelista"/>
        <w:numPr>
          <w:ilvl w:val="0"/>
          <w:numId w:val="4"/>
        </w:numPr>
        <w:jc w:val="both"/>
        <w:rPr>
          <w:rFonts w:asciiTheme="minorHAnsi" w:hAnsiTheme="minorHAnsi"/>
          <w:u w:val="single"/>
        </w:rPr>
      </w:pPr>
      <w:r w:rsidRPr="008D1ADD">
        <w:rPr>
          <w:rFonts w:asciiTheme="minorHAnsi" w:hAnsiTheme="minorHAnsi"/>
          <w:u w:val="single"/>
        </w:rPr>
        <w:t>El segundo indicador con mejor desempeño fue la carencia por calidad y espacios en la vivienda, que cayó de 19.66% a 11.96%, lo que impli</w:t>
      </w:r>
      <w:r w:rsidR="00344FC5" w:rsidRPr="008D1ADD">
        <w:rPr>
          <w:rFonts w:asciiTheme="minorHAnsi" w:hAnsiTheme="minorHAnsi"/>
          <w:u w:val="single"/>
        </w:rPr>
        <w:t xml:space="preserve">ca un decremento de 7.70 puntos </w:t>
      </w:r>
      <w:r w:rsidR="008D1ADD">
        <w:rPr>
          <w:rFonts w:asciiTheme="minorHAnsi" w:hAnsiTheme="minorHAnsi"/>
          <w:u w:val="single"/>
        </w:rPr>
        <w:t>porcentuales.</w:t>
      </w:r>
    </w:p>
    <w:p w14:paraId="1B4CC202" w14:textId="47C2EB9E" w:rsidR="00B722E7" w:rsidRPr="008D1ADD" w:rsidRDefault="00B722E7" w:rsidP="008D1ADD">
      <w:pPr>
        <w:pStyle w:val="Prrafodelista"/>
        <w:numPr>
          <w:ilvl w:val="0"/>
          <w:numId w:val="4"/>
        </w:numPr>
        <w:jc w:val="both"/>
        <w:rPr>
          <w:rFonts w:asciiTheme="minorHAnsi" w:hAnsiTheme="minorHAnsi"/>
          <w:u w:val="single"/>
        </w:rPr>
      </w:pPr>
      <w:r w:rsidRPr="008D1ADD">
        <w:rPr>
          <w:rFonts w:asciiTheme="minorHAnsi" w:hAnsiTheme="minorHAnsi"/>
          <w:u w:val="single"/>
        </w:rPr>
        <w:lastRenderedPageBreak/>
        <w:t>Finalmente, la mayor disminución en términos absolutos (3,768 personas) es la del indicador de la carencia por</w:t>
      </w:r>
      <w:r w:rsidR="00344FC5" w:rsidRPr="008D1ADD">
        <w:rPr>
          <w:rFonts w:asciiTheme="minorHAnsi" w:hAnsiTheme="minorHAnsi"/>
          <w:u w:val="single"/>
        </w:rPr>
        <w:t xml:space="preserve"> </w:t>
      </w:r>
      <w:r w:rsidRPr="008D1ADD">
        <w:rPr>
          <w:rFonts w:asciiTheme="minorHAnsi" w:hAnsiTheme="minorHAnsi"/>
          <w:u w:val="single"/>
        </w:rPr>
        <w:t>acceso a la seguridad social, que pasó de 11,320 personas en 2010 a 7,552 personas en 2015.</w:t>
      </w:r>
    </w:p>
    <w:p w14:paraId="3EE52C58" w14:textId="18A8E7E9" w:rsidR="00B722E7" w:rsidRPr="004B14A7" w:rsidRDefault="00B722E7" w:rsidP="004B14A7">
      <w:pPr>
        <w:jc w:val="both"/>
        <w:rPr>
          <w:rFonts w:asciiTheme="minorHAnsi" w:hAnsiTheme="minorHAnsi"/>
          <w:u w:val="single"/>
        </w:rPr>
      </w:pPr>
      <w:r w:rsidRPr="00B722E7">
        <w:rPr>
          <w:rFonts w:asciiTheme="minorHAnsi" w:hAnsiTheme="minorHAnsi"/>
          <w:u w:val="single"/>
        </w:rPr>
        <w:t>Tomando en cuenta los resultados obtenidos, es posible concluir que hay una mejora en l</w:t>
      </w:r>
      <w:r w:rsidR="00344FC5">
        <w:rPr>
          <w:rFonts w:asciiTheme="minorHAnsi" w:hAnsiTheme="minorHAnsi"/>
          <w:u w:val="single"/>
        </w:rPr>
        <w:t xml:space="preserve">a mayoría de los indicadores de </w:t>
      </w:r>
      <w:r w:rsidRPr="00B722E7">
        <w:rPr>
          <w:rFonts w:asciiTheme="minorHAnsi" w:hAnsiTheme="minorHAnsi"/>
          <w:u w:val="single"/>
        </w:rPr>
        <w:t>pobreza en el municipio. Algunas áreas de oportunidad se identifican en el abatimiento de los si</w:t>
      </w:r>
      <w:r w:rsidR="00344FC5">
        <w:rPr>
          <w:rFonts w:asciiTheme="minorHAnsi" w:hAnsiTheme="minorHAnsi"/>
          <w:u w:val="single"/>
        </w:rPr>
        <w:t xml:space="preserve">guientes indicadores en los que </w:t>
      </w:r>
      <w:r w:rsidRPr="00B722E7">
        <w:rPr>
          <w:rFonts w:asciiTheme="minorHAnsi" w:hAnsiTheme="minorHAnsi"/>
          <w:u w:val="single"/>
        </w:rPr>
        <w:t xml:space="preserve">el municipio aún presenta rezagos respecto al promedio estatal: población con ingreso inferior </w:t>
      </w:r>
      <w:r w:rsidR="00344FC5">
        <w:rPr>
          <w:rFonts w:asciiTheme="minorHAnsi" w:hAnsiTheme="minorHAnsi"/>
          <w:u w:val="single"/>
        </w:rPr>
        <w:t xml:space="preserve">a la línea de bienestar mínimo, </w:t>
      </w:r>
      <w:r w:rsidRPr="00B722E7">
        <w:rPr>
          <w:rFonts w:asciiTheme="minorHAnsi" w:hAnsiTheme="minorHAnsi"/>
          <w:u w:val="single"/>
        </w:rPr>
        <w:t>población con ingreso inferior a la línea de bienestar y carencia por acceso a los servicios</w:t>
      </w:r>
      <w:r w:rsidR="00344FC5">
        <w:rPr>
          <w:rFonts w:asciiTheme="minorHAnsi" w:hAnsiTheme="minorHAnsi"/>
          <w:u w:val="single"/>
        </w:rPr>
        <w:t xml:space="preserve"> básicos en la vivienda. Dichos </w:t>
      </w:r>
      <w:r w:rsidRPr="00B722E7">
        <w:rPr>
          <w:rFonts w:asciiTheme="minorHAnsi" w:hAnsiTheme="minorHAnsi"/>
          <w:u w:val="single"/>
        </w:rPr>
        <w:t>indicadores se encuentran 39.59, 31.35 y 29.07 puntos porcentuales por encima del promedio estatal, respectivamente</w:t>
      </w:r>
      <w:r w:rsidR="00344FC5">
        <w:rPr>
          <w:rFonts w:asciiTheme="minorHAnsi" w:hAnsiTheme="minorHAnsi"/>
          <w:u w:val="single"/>
        </w:rPr>
        <w:t>.</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77777777" w:rsidR="007D1E76" w:rsidRDefault="007D1E76" w:rsidP="00CB41C4">
      <w:pPr>
        <w:tabs>
          <w:tab w:val="left" w:leader="underscore" w:pos="9639"/>
        </w:tabs>
        <w:spacing w:after="0" w:line="240" w:lineRule="auto"/>
        <w:jc w:val="both"/>
        <w:rPr>
          <w:rFonts w:cs="Calibri"/>
        </w:rPr>
      </w:pPr>
    </w:p>
    <w:p w14:paraId="545C1F4E" w14:textId="77777777" w:rsidR="00610280" w:rsidRDefault="00610280" w:rsidP="00610280">
      <w:pPr>
        <w:spacing w:after="0" w:line="240" w:lineRule="auto"/>
        <w:jc w:val="both"/>
        <w:rPr>
          <w:rFonts w:asciiTheme="minorHAnsi" w:eastAsia="Times New Roman" w:hAnsiTheme="minorHAnsi" w:cstheme="minorHAnsi"/>
          <w:color w:val="000000"/>
          <w:u w:val="single"/>
          <w:lang w:eastAsia="es-MX"/>
        </w:rPr>
      </w:pPr>
      <w:r w:rsidRPr="003404E6">
        <w:rPr>
          <w:rFonts w:asciiTheme="minorHAnsi" w:eastAsia="Times New Roman" w:hAnsiTheme="minorHAnsi" w:cstheme="minorHAnsi"/>
          <w:color w:val="000000"/>
          <w:u w:val="single"/>
          <w:lang w:eastAsia="es-MX"/>
        </w:rPr>
        <w:t xml:space="preserve">El 28 de diciembre de 1585 fue fundado este pueblo por don Alejo Guzmán, cacique indio de </w:t>
      </w:r>
      <w:proofErr w:type="spellStart"/>
      <w:r w:rsidRPr="003404E6">
        <w:rPr>
          <w:rFonts w:asciiTheme="minorHAnsi" w:eastAsia="Times New Roman" w:hAnsiTheme="minorHAnsi" w:cstheme="minorHAnsi"/>
          <w:color w:val="000000"/>
          <w:u w:val="single"/>
          <w:lang w:eastAsia="es-MX"/>
        </w:rPr>
        <w:t>Temazcaltepec</w:t>
      </w:r>
      <w:proofErr w:type="spellEnd"/>
      <w:r w:rsidRPr="003404E6">
        <w:rPr>
          <w:rFonts w:asciiTheme="minorHAnsi" w:eastAsia="Times New Roman" w:hAnsiTheme="minorHAnsi" w:cstheme="minorHAnsi"/>
          <w:color w:val="000000"/>
          <w:u w:val="single"/>
          <w:lang w:eastAsia="es-MX"/>
        </w:rPr>
        <w:t xml:space="preserve">, con el nombre de minerales de san francisco de los emúes de Xichú, siendo virrey de la nueva España don Alonso de Manrique, marques de Villamanrique, aunque todos los autores conocidos afirman que fue por orden de don Luis de Velazco, quedando anexado al mando político de Xichú de los indios. /en 1748, en su libro “descripción general de los reinos y provincias de la nueva España y sus jurisdicciones”. D. Joseph Antonio de Villaseñor y Sánchez contador general de la real contaduría de azogues y cosmógrafo del reino de s. Francisco de los </w:t>
      </w:r>
      <w:proofErr w:type="spellStart"/>
      <w:r w:rsidRPr="003404E6">
        <w:rPr>
          <w:rFonts w:asciiTheme="minorHAnsi" w:eastAsia="Times New Roman" w:hAnsiTheme="minorHAnsi" w:cstheme="minorHAnsi"/>
          <w:color w:val="000000"/>
          <w:u w:val="single"/>
          <w:lang w:eastAsia="es-MX"/>
        </w:rPr>
        <w:t>amues</w:t>
      </w:r>
      <w:proofErr w:type="spellEnd"/>
      <w:r w:rsidRPr="003404E6">
        <w:rPr>
          <w:rFonts w:asciiTheme="minorHAnsi" w:eastAsia="Times New Roman" w:hAnsiTheme="minorHAnsi" w:cstheme="minorHAnsi"/>
          <w:color w:val="000000"/>
          <w:u w:val="single"/>
          <w:lang w:eastAsia="es-MX"/>
        </w:rPr>
        <w:t xml:space="preserve"> de </w:t>
      </w:r>
      <w:proofErr w:type="spellStart"/>
      <w:r w:rsidRPr="003404E6">
        <w:rPr>
          <w:rFonts w:asciiTheme="minorHAnsi" w:eastAsia="Times New Roman" w:hAnsiTheme="minorHAnsi" w:cstheme="minorHAnsi"/>
          <w:color w:val="000000"/>
          <w:u w:val="single"/>
          <w:lang w:eastAsia="es-MX"/>
        </w:rPr>
        <w:t>tzichuú</w:t>
      </w:r>
      <w:proofErr w:type="spellEnd"/>
      <w:r w:rsidRPr="003404E6">
        <w:rPr>
          <w:rFonts w:asciiTheme="minorHAnsi" w:eastAsia="Times New Roman" w:hAnsiTheme="minorHAnsi" w:cstheme="minorHAnsi"/>
          <w:color w:val="000000"/>
          <w:u w:val="single"/>
          <w:lang w:eastAsia="es-MX"/>
        </w:rPr>
        <w:t xml:space="preserve"> se halla situado al oriente de la cabecera (san </w:t>
      </w:r>
      <w:proofErr w:type="spellStart"/>
      <w:r w:rsidRPr="003404E6">
        <w:rPr>
          <w:rFonts w:asciiTheme="minorHAnsi" w:eastAsia="Times New Roman" w:hAnsiTheme="minorHAnsi" w:cstheme="minorHAnsi"/>
          <w:color w:val="000000"/>
          <w:u w:val="single"/>
          <w:lang w:eastAsia="es-MX"/>
        </w:rPr>
        <w:t>luis</w:t>
      </w:r>
      <w:proofErr w:type="spellEnd"/>
      <w:r w:rsidRPr="003404E6">
        <w:rPr>
          <w:rFonts w:asciiTheme="minorHAnsi" w:eastAsia="Times New Roman" w:hAnsiTheme="minorHAnsi" w:cstheme="minorHAnsi"/>
          <w:color w:val="000000"/>
          <w:u w:val="single"/>
          <w:lang w:eastAsia="es-MX"/>
        </w:rPr>
        <w:t xml:space="preserve"> de la paz) en distancia de quince leguas; viven congregadas en el treinta y seis familias de españoles, noventa y dos mestizos y mulatos y cuarenta y tres indios, administrados por  cura clericó de la parroquia de este real, cuyo comercio es de las plantas por estar sus minas en corriente) y fue hasta el 21 de junio de 1692 cuando se emitió la real cedula para dotar de los títulos de propiedad del pueblo.</w:t>
      </w:r>
    </w:p>
    <w:p w14:paraId="6D29DF9B" w14:textId="77777777" w:rsidR="00610280" w:rsidRDefault="00610280" w:rsidP="00610280">
      <w:pPr>
        <w:spacing w:after="0" w:line="240" w:lineRule="auto"/>
        <w:jc w:val="both"/>
        <w:rPr>
          <w:rFonts w:asciiTheme="minorHAnsi" w:eastAsia="Times New Roman" w:hAnsiTheme="minorHAnsi" w:cstheme="minorHAnsi"/>
          <w:color w:val="000000"/>
          <w:u w:val="single"/>
          <w:lang w:eastAsia="es-MX"/>
        </w:rPr>
      </w:pPr>
    </w:p>
    <w:p w14:paraId="7A742934" w14:textId="03B57770" w:rsidR="00610280" w:rsidRPr="003404E6" w:rsidRDefault="00610280" w:rsidP="00610280">
      <w:pPr>
        <w:spacing w:after="0" w:line="240" w:lineRule="auto"/>
        <w:jc w:val="both"/>
        <w:rPr>
          <w:rFonts w:asciiTheme="minorHAnsi" w:eastAsia="Times New Roman" w:hAnsiTheme="minorHAnsi" w:cstheme="minorHAnsi"/>
          <w:color w:val="000000"/>
          <w:u w:val="single"/>
          <w:lang w:eastAsia="es-MX"/>
        </w:rPr>
      </w:pPr>
      <w:r w:rsidRPr="003404E6">
        <w:rPr>
          <w:rFonts w:asciiTheme="minorHAnsi" w:hAnsiTheme="minorHAnsi" w:cstheme="minorHAnsi"/>
          <w:u w:val="single"/>
        </w:rPr>
        <w:t>Fiscalmente el municipio de Xichú como ente público se crea el 01 de Enero de 1985.</w:t>
      </w:r>
    </w:p>
    <w:p w14:paraId="2D955149" w14:textId="77777777" w:rsidR="00610280" w:rsidRPr="00E74967" w:rsidRDefault="00610280"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77777777" w:rsidR="007D1E76" w:rsidRDefault="007D1E76" w:rsidP="00CB41C4">
      <w:pPr>
        <w:tabs>
          <w:tab w:val="left" w:leader="underscore" w:pos="9639"/>
        </w:tabs>
        <w:spacing w:after="0" w:line="240" w:lineRule="auto"/>
        <w:jc w:val="both"/>
        <w:rPr>
          <w:rFonts w:cs="Calibri"/>
        </w:rPr>
      </w:pPr>
    </w:p>
    <w:p w14:paraId="27DFE78E" w14:textId="77777777" w:rsidR="00610280" w:rsidRPr="003404E6" w:rsidRDefault="00610280" w:rsidP="00610280">
      <w:pPr>
        <w:tabs>
          <w:tab w:val="left" w:leader="underscore" w:pos="9639"/>
        </w:tabs>
        <w:spacing w:after="0" w:line="240" w:lineRule="auto"/>
        <w:jc w:val="both"/>
        <w:rPr>
          <w:rFonts w:cs="Calibri"/>
          <w:u w:val="single"/>
        </w:rPr>
      </w:pPr>
      <w:r>
        <w:rPr>
          <w:rFonts w:cs="Calibri"/>
          <w:u w:val="single"/>
        </w:rPr>
        <w:t>Se aco</w:t>
      </w:r>
      <w:r w:rsidRPr="003404E6">
        <w:rPr>
          <w:rFonts w:cs="Calibri"/>
          <w:u w:val="single"/>
        </w:rPr>
        <w:t>pla a los requerimientos de cada administración.</w:t>
      </w:r>
    </w:p>
    <w:p w14:paraId="093A97D8" w14:textId="77777777" w:rsidR="00610280" w:rsidRPr="00E74967" w:rsidRDefault="00610280"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3C65E00" w14:textId="77777777" w:rsidR="007D1E76" w:rsidRDefault="007D1E76" w:rsidP="00CB41C4">
      <w:pPr>
        <w:tabs>
          <w:tab w:val="left" w:leader="underscore" w:pos="9639"/>
        </w:tabs>
        <w:spacing w:after="0" w:line="240" w:lineRule="auto"/>
        <w:jc w:val="both"/>
        <w:rPr>
          <w:rFonts w:cs="Calibri"/>
        </w:rPr>
      </w:pPr>
    </w:p>
    <w:p w14:paraId="7551E8F1" w14:textId="77777777" w:rsidR="00610280" w:rsidRPr="00280E21" w:rsidRDefault="00610280" w:rsidP="00610280">
      <w:pPr>
        <w:spacing w:after="0" w:line="240" w:lineRule="auto"/>
        <w:jc w:val="both"/>
        <w:rPr>
          <w:rFonts w:asciiTheme="minorHAnsi" w:eastAsia="Times New Roman" w:hAnsiTheme="minorHAnsi" w:cstheme="minorHAnsi"/>
          <w:color w:val="000000"/>
          <w:sz w:val="24"/>
          <w:szCs w:val="24"/>
          <w:u w:val="single"/>
          <w:lang w:eastAsia="es-MX"/>
        </w:rPr>
      </w:pPr>
      <w:r w:rsidRPr="00280E21">
        <w:rPr>
          <w:rFonts w:asciiTheme="minorHAnsi" w:eastAsia="Times New Roman" w:hAnsiTheme="minorHAnsi" w:cstheme="minorHAnsi"/>
          <w:color w:val="000000"/>
          <w:sz w:val="24"/>
          <w:szCs w:val="24"/>
          <w:u w:val="single"/>
          <w:lang w:eastAsia="es-MX"/>
        </w:rPr>
        <w:t>Administrar los recursos de la sociedad y proporcionar los servicios y cubrir las necesidades de la misma</w:t>
      </w:r>
      <w:r>
        <w:rPr>
          <w:rFonts w:asciiTheme="minorHAnsi" w:eastAsia="Times New Roman" w:hAnsiTheme="minorHAnsi" w:cstheme="minorHAnsi"/>
          <w:color w:val="000000"/>
          <w:sz w:val="24"/>
          <w:szCs w:val="24"/>
          <w:u w:val="single"/>
          <w:lang w:eastAsia="es-MX"/>
        </w:rPr>
        <w:t>.</w:t>
      </w:r>
    </w:p>
    <w:p w14:paraId="78C69513" w14:textId="77777777" w:rsidR="00610280" w:rsidRPr="00E74967" w:rsidRDefault="00610280"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5F90EEC" w14:textId="77777777" w:rsidR="00CB41C4" w:rsidRDefault="00CB41C4" w:rsidP="00CB41C4">
      <w:pPr>
        <w:tabs>
          <w:tab w:val="left" w:leader="underscore" w:pos="9639"/>
        </w:tabs>
        <w:spacing w:after="0" w:line="240" w:lineRule="auto"/>
        <w:jc w:val="both"/>
        <w:rPr>
          <w:rFonts w:cs="Calibri"/>
        </w:rPr>
      </w:pPr>
    </w:p>
    <w:p w14:paraId="47C46289" w14:textId="77777777" w:rsidR="0027492F" w:rsidRPr="00F6350F" w:rsidRDefault="0027492F" w:rsidP="0027492F">
      <w:pPr>
        <w:spacing w:after="0" w:line="240" w:lineRule="auto"/>
        <w:jc w:val="both"/>
        <w:rPr>
          <w:rFonts w:asciiTheme="minorHAnsi" w:eastAsia="Times New Roman" w:hAnsiTheme="minorHAnsi" w:cstheme="minorHAnsi"/>
          <w:color w:val="000000"/>
          <w:sz w:val="24"/>
          <w:szCs w:val="24"/>
          <w:u w:val="single"/>
          <w:lang w:eastAsia="es-MX"/>
        </w:rPr>
      </w:pPr>
      <w:r w:rsidRPr="00F6350F">
        <w:rPr>
          <w:rFonts w:asciiTheme="minorHAnsi" w:eastAsia="Times New Roman" w:hAnsiTheme="minorHAnsi" w:cstheme="minorHAnsi"/>
          <w:color w:val="000000"/>
          <w:sz w:val="24"/>
          <w:szCs w:val="24"/>
          <w:u w:val="single"/>
          <w:lang w:eastAsia="es-MX"/>
        </w:rPr>
        <w:t>Administración Gubernamental</w:t>
      </w:r>
      <w:r>
        <w:rPr>
          <w:rFonts w:asciiTheme="minorHAnsi" w:eastAsia="Times New Roman" w:hAnsiTheme="minorHAnsi" w:cstheme="minorHAnsi"/>
          <w:color w:val="000000"/>
          <w:sz w:val="24"/>
          <w:szCs w:val="24"/>
          <w:u w:val="single"/>
          <w:lang w:eastAsia="es-MX"/>
        </w:rPr>
        <w:t>.</w:t>
      </w:r>
    </w:p>
    <w:p w14:paraId="58E79823" w14:textId="77777777" w:rsidR="0027492F" w:rsidRPr="00E74967" w:rsidRDefault="0027492F"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4086EF0A" w14:textId="77777777" w:rsidR="0027492F" w:rsidRDefault="0027492F" w:rsidP="00CB41C4">
      <w:pPr>
        <w:tabs>
          <w:tab w:val="left" w:leader="underscore" w:pos="9639"/>
        </w:tabs>
        <w:spacing w:after="0" w:line="240" w:lineRule="auto"/>
        <w:jc w:val="both"/>
        <w:rPr>
          <w:rFonts w:cs="Calibri"/>
          <w:u w:val="single"/>
        </w:rPr>
      </w:pPr>
    </w:p>
    <w:p w14:paraId="04F7186A" w14:textId="76E2191B" w:rsidR="007D1E76" w:rsidRPr="0027492F" w:rsidRDefault="00230647" w:rsidP="0027492F">
      <w:pPr>
        <w:spacing w:after="0" w:line="240" w:lineRule="auto"/>
        <w:jc w:val="both"/>
        <w:rPr>
          <w:rFonts w:asciiTheme="minorHAnsi" w:eastAsia="Times New Roman" w:hAnsiTheme="minorHAnsi" w:cstheme="minorHAnsi"/>
          <w:color w:val="000000"/>
          <w:sz w:val="24"/>
          <w:szCs w:val="24"/>
          <w:u w:val="single"/>
          <w:lang w:eastAsia="es-MX"/>
        </w:rPr>
      </w:pPr>
      <w:r>
        <w:rPr>
          <w:rFonts w:asciiTheme="minorHAnsi" w:eastAsia="Times New Roman" w:hAnsiTheme="minorHAnsi" w:cstheme="minorHAnsi"/>
          <w:color w:val="000000"/>
          <w:sz w:val="24"/>
          <w:szCs w:val="24"/>
          <w:u w:val="single"/>
          <w:lang w:eastAsia="es-MX"/>
        </w:rPr>
        <w:t>Enero a Diciembre</w:t>
      </w:r>
      <w:r w:rsidR="0027492F" w:rsidRPr="0027492F">
        <w:rPr>
          <w:rFonts w:asciiTheme="minorHAnsi" w:eastAsia="Times New Roman" w:hAnsiTheme="minorHAnsi" w:cstheme="minorHAnsi"/>
          <w:color w:val="000000"/>
          <w:sz w:val="24"/>
          <w:szCs w:val="24"/>
          <w:u w:val="single"/>
          <w:lang w:eastAsia="es-MX"/>
        </w:rPr>
        <w:t xml:space="preserve"> 2019.</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B22724" w14:textId="77777777" w:rsidR="007D1E76" w:rsidRDefault="007D1E76" w:rsidP="00CB41C4">
      <w:pPr>
        <w:tabs>
          <w:tab w:val="left" w:leader="underscore" w:pos="9639"/>
        </w:tabs>
        <w:spacing w:after="0" w:line="240" w:lineRule="auto"/>
        <w:jc w:val="both"/>
        <w:rPr>
          <w:rFonts w:cs="Calibri"/>
        </w:rPr>
      </w:pPr>
    </w:p>
    <w:p w14:paraId="345AEDD2" w14:textId="77777777" w:rsidR="00807BBE" w:rsidRPr="00CC78EF" w:rsidRDefault="00807BBE" w:rsidP="00807BBE">
      <w:pPr>
        <w:spacing w:after="0" w:line="240" w:lineRule="auto"/>
        <w:jc w:val="both"/>
        <w:rPr>
          <w:rFonts w:cs="Calibri"/>
          <w:u w:val="single"/>
        </w:rPr>
      </w:pPr>
      <w:r w:rsidRPr="00CC78EF">
        <w:rPr>
          <w:rFonts w:cs="Calibri"/>
          <w:u w:val="single"/>
        </w:rPr>
        <w:t>Persona Moral sin fines de lucro</w:t>
      </w:r>
    </w:p>
    <w:p w14:paraId="1F62551A" w14:textId="77777777" w:rsidR="00807BBE" w:rsidRPr="00CC78EF" w:rsidRDefault="00807BBE" w:rsidP="00807BBE">
      <w:pPr>
        <w:spacing w:after="0" w:line="240" w:lineRule="auto"/>
        <w:jc w:val="both"/>
        <w:rPr>
          <w:rFonts w:cs="Calibri"/>
          <w:u w:val="single"/>
        </w:rPr>
      </w:pPr>
      <w:r w:rsidRPr="00CC78EF">
        <w:rPr>
          <w:rFonts w:cs="Calibri"/>
          <w:u w:val="single"/>
        </w:rPr>
        <w:t>Municipio de Xichú</w:t>
      </w:r>
    </w:p>
    <w:p w14:paraId="1A6788AF" w14:textId="77777777" w:rsidR="00807BBE" w:rsidRPr="00CC78EF" w:rsidRDefault="00807BBE" w:rsidP="00807BBE">
      <w:pPr>
        <w:spacing w:after="0" w:line="240" w:lineRule="auto"/>
        <w:jc w:val="both"/>
        <w:rPr>
          <w:rFonts w:cs="Calibri"/>
          <w:u w:val="single"/>
        </w:rPr>
      </w:pPr>
      <w:r w:rsidRPr="00CC78EF">
        <w:rPr>
          <w:rFonts w:cs="Calibri"/>
          <w:u w:val="single"/>
        </w:rPr>
        <w:t>MXI8501014D4</w:t>
      </w:r>
    </w:p>
    <w:p w14:paraId="2644B184" w14:textId="77777777" w:rsidR="00807BBE" w:rsidRPr="00E74967" w:rsidRDefault="00807BBE"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268EF76" w14:textId="77777777" w:rsidR="007D1E76" w:rsidRDefault="007D1E76" w:rsidP="00CB41C4">
      <w:pPr>
        <w:tabs>
          <w:tab w:val="left" w:leader="underscore" w:pos="9639"/>
        </w:tabs>
        <w:spacing w:after="0" w:line="240" w:lineRule="auto"/>
        <w:jc w:val="both"/>
        <w:rPr>
          <w:rFonts w:cs="Calibri"/>
        </w:rPr>
      </w:pPr>
    </w:p>
    <w:p w14:paraId="10F36AEF" w14:textId="3E228810" w:rsidR="00807BBE" w:rsidRDefault="00807BBE" w:rsidP="00CB41C4">
      <w:pPr>
        <w:tabs>
          <w:tab w:val="left" w:leader="underscore" w:pos="9639"/>
        </w:tabs>
        <w:spacing w:after="0" w:line="240" w:lineRule="auto"/>
        <w:jc w:val="both"/>
        <w:rPr>
          <w:rFonts w:cs="Calibri"/>
          <w:u w:val="single"/>
        </w:rPr>
      </w:pPr>
      <w:r w:rsidRPr="00807BBE">
        <w:rPr>
          <w:rFonts w:cs="Calibri"/>
          <w:u w:val="single"/>
        </w:rPr>
        <w:t>ISR Retenciones Por Salarios</w:t>
      </w:r>
    </w:p>
    <w:p w14:paraId="7B4C8FA6" w14:textId="77777777" w:rsidR="00B466EB" w:rsidRDefault="00B466EB" w:rsidP="00CB41C4">
      <w:pPr>
        <w:tabs>
          <w:tab w:val="left" w:leader="underscore" w:pos="9639"/>
        </w:tabs>
        <w:spacing w:after="0" w:line="240" w:lineRule="auto"/>
        <w:jc w:val="both"/>
        <w:rPr>
          <w:rFonts w:cs="Calibri"/>
          <w:u w:val="single"/>
        </w:rPr>
      </w:pPr>
    </w:p>
    <w:p w14:paraId="4DCAA10F" w14:textId="77777777" w:rsidR="00807BBE" w:rsidRPr="00807BBE" w:rsidRDefault="00807BBE" w:rsidP="00CB41C4">
      <w:pPr>
        <w:tabs>
          <w:tab w:val="left" w:leader="underscore" w:pos="9639"/>
        </w:tabs>
        <w:spacing w:after="0" w:line="240" w:lineRule="auto"/>
        <w:jc w:val="both"/>
        <w:rPr>
          <w:rFonts w:cs="Calibri"/>
          <w:u w:val="single"/>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71918EB8" w14:textId="1ABC189B" w:rsidR="00807BBE" w:rsidRPr="00E74967" w:rsidRDefault="00807BBE" w:rsidP="00CB41C4">
      <w:pPr>
        <w:tabs>
          <w:tab w:val="left" w:leader="underscore" w:pos="9639"/>
        </w:tabs>
        <w:spacing w:after="0" w:line="240" w:lineRule="auto"/>
        <w:ind w:firstLine="708"/>
        <w:jc w:val="both"/>
        <w:rPr>
          <w:rFonts w:cs="Calibri"/>
        </w:rPr>
      </w:pPr>
      <w:r>
        <w:rPr>
          <w:rFonts w:cs="Calibri"/>
        </w:rPr>
        <w:t>Se anexa organigrama de la administración 2018-2021.</w:t>
      </w:r>
    </w:p>
    <w:p w14:paraId="03F99DB1" w14:textId="74B365FF" w:rsidR="00B466EB" w:rsidRDefault="00B466EB" w:rsidP="00CB41C4">
      <w:pPr>
        <w:tabs>
          <w:tab w:val="left" w:leader="underscore" w:pos="9639"/>
        </w:tabs>
        <w:spacing w:after="0" w:line="240" w:lineRule="auto"/>
        <w:jc w:val="both"/>
        <w:rPr>
          <w:noProof/>
          <w:lang w:eastAsia="es-MX"/>
        </w:rPr>
      </w:pPr>
      <w:r>
        <w:rPr>
          <w:noProof/>
          <w:lang w:eastAsia="es-MX"/>
        </w:rPr>
        <w:lastRenderedPageBreak/>
        <w:drawing>
          <wp:anchor distT="0" distB="0" distL="114300" distR="114300" simplePos="0" relativeHeight="251658240" behindDoc="0" locked="0" layoutInCell="1" allowOverlap="1" wp14:anchorId="5F3E3070" wp14:editId="06559BAD">
            <wp:simplePos x="0" y="0"/>
            <wp:positionH relativeFrom="column">
              <wp:posOffset>-436880</wp:posOffset>
            </wp:positionH>
            <wp:positionV relativeFrom="paragraph">
              <wp:posOffset>170815</wp:posOffset>
            </wp:positionV>
            <wp:extent cx="6803390" cy="5404485"/>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21061" t="25758" r="21597" b="8009"/>
                    <a:stretch/>
                  </pic:blipFill>
                  <pic:spPr bwMode="auto">
                    <a:xfrm>
                      <a:off x="0" y="0"/>
                      <a:ext cx="6803390" cy="5404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w:t>
      </w:r>
    </w:p>
    <w:p w14:paraId="311CA24A" w14:textId="77777777" w:rsidR="00807BBE" w:rsidRPr="00E74967" w:rsidRDefault="00807BBE" w:rsidP="00CB41C4">
      <w:pPr>
        <w:tabs>
          <w:tab w:val="left" w:leader="underscore" w:pos="9639"/>
        </w:tabs>
        <w:spacing w:after="0" w:line="240" w:lineRule="auto"/>
        <w:jc w:val="both"/>
        <w:rPr>
          <w:rFonts w:cs="Calibri"/>
        </w:rPr>
      </w:pPr>
    </w:p>
    <w:p w14:paraId="0FABCEB8" w14:textId="77777777" w:rsidR="007D1E76" w:rsidRPr="00E74967" w:rsidRDefault="007D1E76" w:rsidP="00CB41C4">
      <w:pPr>
        <w:tabs>
          <w:tab w:val="left" w:leader="underscore" w:pos="9639"/>
        </w:tabs>
        <w:spacing w:after="0" w:line="240" w:lineRule="auto"/>
        <w:jc w:val="both"/>
        <w:rPr>
          <w:rFonts w:cs="Calibri"/>
        </w:rPr>
      </w:pPr>
    </w:p>
    <w:p w14:paraId="7FA6DD77" w14:textId="77777777" w:rsidR="00B466EB" w:rsidRDefault="007D1E76" w:rsidP="00B466EB">
      <w:pPr>
        <w:pStyle w:val="Prrafodelista"/>
        <w:numPr>
          <w:ilvl w:val="0"/>
          <w:numId w:val="3"/>
        </w:numPr>
        <w:tabs>
          <w:tab w:val="left" w:leader="underscore" w:pos="9639"/>
        </w:tabs>
        <w:spacing w:after="0" w:line="240" w:lineRule="auto"/>
        <w:jc w:val="both"/>
        <w:rPr>
          <w:rFonts w:cs="Calibri"/>
        </w:rPr>
      </w:pPr>
      <w:r w:rsidRPr="00B466EB">
        <w:rPr>
          <w:rFonts w:cs="Calibri"/>
        </w:rPr>
        <w:t>Si se ha observado la normatividad emitida por el CONAC y las disposiciones legales aplicables.</w:t>
      </w:r>
    </w:p>
    <w:p w14:paraId="1D41E5F6" w14:textId="3F8B0F99" w:rsidR="00B466EB" w:rsidRPr="00B466EB" w:rsidRDefault="00B466EB" w:rsidP="00B466EB">
      <w:pPr>
        <w:tabs>
          <w:tab w:val="left" w:leader="underscore" w:pos="9639"/>
        </w:tabs>
        <w:spacing w:after="0" w:line="240" w:lineRule="auto"/>
        <w:jc w:val="both"/>
        <w:rPr>
          <w:rFonts w:cs="Calibri"/>
        </w:rPr>
      </w:pPr>
      <w:r w:rsidRPr="00B466EB">
        <w:rPr>
          <w:rFonts w:cs="Calibri"/>
          <w:u w:val="single"/>
        </w:rPr>
        <w:t>El municipio se apega a las disposiciones emitidas por el Conoac y disposiciones legales aplicables.</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46BFC2AC" w:rsidR="007D1E76" w:rsidRPr="00B466EB" w:rsidRDefault="007D1E76" w:rsidP="00DC1FF8">
      <w:pPr>
        <w:pStyle w:val="Prrafodelista"/>
        <w:numPr>
          <w:ilvl w:val="0"/>
          <w:numId w:val="3"/>
        </w:numPr>
        <w:tabs>
          <w:tab w:val="left" w:leader="underscore" w:pos="9639"/>
        </w:tabs>
        <w:spacing w:after="0" w:line="240" w:lineRule="auto"/>
        <w:rPr>
          <w:rFonts w:cs="Calibri"/>
        </w:rPr>
      </w:pPr>
      <w:r w:rsidRPr="00B466EB">
        <w:rPr>
          <w:rFonts w:cs="Calibri"/>
        </w:rPr>
        <w:t xml:space="preserve">La normatividad aplicada para el reconocimiento, valuación y revelación de los diferentes rubros de la información financiera, así como las bases de medición utilizadas para la elaboración de los </w:t>
      </w:r>
      <w:r w:rsidRPr="00B466EB">
        <w:rPr>
          <w:rFonts w:cs="Calibri"/>
        </w:rPr>
        <w:lastRenderedPageBreak/>
        <w:t>estados financieros; por ejemplo: costo histórico, valor de realización, valor razonable, valor de recuperación o cualquier otro método empleado y los criterios de aplicación de los mismos.</w:t>
      </w:r>
    </w:p>
    <w:p w14:paraId="5D500C0B" w14:textId="77777777" w:rsidR="00C24A9B" w:rsidRDefault="00C24A9B" w:rsidP="00DC1FF8">
      <w:pPr>
        <w:tabs>
          <w:tab w:val="left" w:leader="underscore" w:pos="9639"/>
        </w:tabs>
        <w:spacing w:after="0" w:line="240" w:lineRule="auto"/>
        <w:rPr>
          <w:rFonts w:cs="Calibri"/>
          <w:u w:val="single"/>
        </w:rPr>
      </w:pPr>
    </w:p>
    <w:p w14:paraId="432D9527" w14:textId="4BEDC0AD" w:rsidR="00B466EB" w:rsidRPr="00D57ED2" w:rsidRDefault="00D57ED2" w:rsidP="00DC1FF8">
      <w:pPr>
        <w:tabs>
          <w:tab w:val="left" w:leader="underscore" w:pos="9639"/>
        </w:tabs>
        <w:spacing w:after="0" w:line="240" w:lineRule="auto"/>
        <w:rPr>
          <w:rFonts w:cs="Calibri"/>
          <w:u w:val="single"/>
        </w:rPr>
      </w:pPr>
      <w:r w:rsidRPr="00D57ED2">
        <w:rPr>
          <w:rFonts w:cs="Calibri"/>
          <w:u w:val="single"/>
        </w:rPr>
        <w:t>El municipio de Xichú, Gto., en cumplimiento a las principales Reglas de registro  y Valoración  del patrimonio, establece el  costo de adquisición o costo histórico, así como el valor razonable para establecer  los elementos necesarios para la determinación de la valuación de la hacienda Pública.</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2E2585AA" w:rsidR="007D1E76" w:rsidRPr="00D57ED2" w:rsidRDefault="00D57ED2" w:rsidP="00CB41C4">
      <w:pPr>
        <w:tabs>
          <w:tab w:val="left" w:leader="underscore" w:pos="9639"/>
        </w:tabs>
        <w:spacing w:after="0" w:line="240" w:lineRule="auto"/>
        <w:jc w:val="both"/>
        <w:rPr>
          <w:rFonts w:cs="Calibri"/>
          <w:u w:val="single"/>
        </w:rPr>
      </w:pPr>
      <w:r w:rsidRPr="00D57ED2">
        <w:rPr>
          <w:rFonts w:cs="Calibri"/>
          <w:u w:val="single"/>
        </w:rPr>
        <w:t>Valuación: ya que todos los eventos que afecten económicamente al ente público deben ser cuantificados  en términos monetarios y se registran al costo histórico o al valor económico más objetivo registrándose en moneda nacional.</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07766CD0"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67B84A4C" w:rsidR="007D1E76" w:rsidRPr="00DC1FF8" w:rsidRDefault="00DC1FF8" w:rsidP="00CB41C4">
      <w:pPr>
        <w:tabs>
          <w:tab w:val="left" w:leader="underscore" w:pos="9639"/>
        </w:tabs>
        <w:spacing w:after="0" w:line="240" w:lineRule="auto"/>
        <w:jc w:val="both"/>
        <w:rPr>
          <w:rFonts w:cs="Calibri"/>
          <w:u w:val="single"/>
        </w:rPr>
      </w:pPr>
      <w:r w:rsidRPr="00DC1FF8">
        <w:rPr>
          <w:rFonts w:cs="Calibri"/>
          <w:u w:val="single"/>
        </w:rPr>
        <w:lastRenderedPageBreak/>
        <w:t xml:space="preserve">De acuerdo a las principales reglas de registro y Valoración del Patrimonio, los valores que se pueden asignar a los activos, pasivos y hacienda pública en el ente, es el costo de adquisición o costo histórico, así como el valor razonable.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C16D18F" w14:textId="245B319D" w:rsidR="00A351B1" w:rsidRPr="00DD7C22" w:rsidRDefault="00A351B1" w:rsidP="00A351B1">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761C47D7" w14:textId="65392394" w:rsidR="007D1E76" w:rsidRPr="00DC1FF8" w:rsidRDefault="007D1E76" w:rsidP="00CB41C4">
      <w:pPr>
        <w:tabs>
          <w:tab w:val="left" w:leader="underscore" w:pos="9639"/>
        </w:tabs>
        <w:spacing w:after="0" w:line="240" w:lineRule="auto"/>
        <w:jc w:val="both"/>
        <w:rPr>
          <w:rFonts w:cs="Calibri"/>
          <w:u w:val="single"/>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98B1CDD" w14:textId="77777777" w:rsidR="00A351B1" w:rsidRPr="00DD7C22" w:rsidRDefault="00A351B1" w:rsidP="00A351B1">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6235FBA1"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6E6A4FEF"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2B3D4753"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16D70956"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52298959"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60879E46"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408B674F"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48F738B5" w:rsidR="007D1E76" w:rsidRPr="00595C6D"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6AE67333"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9A33FDA"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48458366"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4C090738"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653551AD" w:rsidR="007D1E76" w:rsidRPr="00DD59EA" w:rsidRDefault="007D1E76" w:rsidP="00CB41C4">
      <w:pPr>
        <w:tabs>
          <w:tab w:val="left" w:leader="underscore" w:pos="9639"/>
        </w:tabs>
        <w:spacing w:after="0" w:line="240" w:lineRule="auto"/>
        <w:jc w:val="both"/>
        <w:rPr>
          <w:rFonts w:cs="Calibri"/>
          <w:u w:val="single"/>
        </w:rPr>
      </w:pP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0A3052B9" w:rsidR="007D1E76" w:rsidRPr="00645B69" w:rsidRDefault="00DD7C22" w:rsidP="00CB41C4">
      <w:pPr>
        <w:tabs>
          <w:tab w:val="left" w:leader="underscore" w:pos="9639"/>
        </w:tabs>
        <w:spacing w:after="0" w:line="240" w:lineRule="auto"/>
        <w:jc w:val="both"/>
        <w:rPr>
          <w:u w:val="single"/>
        </w:rPr>
      </w:pPr>
      <w:r w:rsidRPr="00645B69">
        <w:rPr>
          <w:u w:val="single"/>
        </w:rPr>
        <w:t>E</w:t>
      </w:r>
      <w:r w:rsidR="00645B69" w:rsidRPr="00645B69">
        <w:rPr>
          <w:u w:val="single"/>
        </w:rPr>
        <w:t xml:space="preserve">n la recaudación de los ingresos locales  se </w:t>
      </w:r>
      <w:r w:rsidRPr="00645B69">
        <w:rPr>
          <w:u w:val="single"/>
        </w:rPr>
        <w:t>ha observado un comportamiento irregular en la captación de sus ingresos, manteniendo un orden ascendente el rubr</w:t>
      </w:r>
      <w:r w:rsidR="00645B69" w:rsidRPr="00645B69">
        <w:rPr>
          <w:u w:val="single"/>
        </w:rPr>
        <w:t>o de los impuestos, puesto que</w:t>
      </w:r>
      <w:r w:rsidRPr="00645B69">
        <w:rPr>
          <w:u w:val="single"/>
        </w:rPr>
        <w:t xml:space="preserve"> ha aumentado la captación, lo que permite realizar una proyección </w:t>
      </w:r>
      <w:r w:rsidR="00645B69" w:rsidRPr="00645B69">
        <w:rPr>
          <w:u w:val="single"/>
        </w:rPr>
        <w:t>de superación al monto captado en el 2018.</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707A6B3" w:rsidR="007D1E76" w:rsidRPr="009661F8" w:rsidRDefault="00645B69" w:rsidP="00CB41C4">
      <w:pPr>
        <w:tabs>
          <w:tab w:val="left" w:leader="underscore" w:pos="9639"/>
        </w:tabs>
        <w:spacing w:after="0" w:line="240" w:lineRule="auto"/>
        <w:jc w:val="both"/>
        <w:rPr>
          <w:rFonts w:cs="Calibri"/>
          <w:u w:val="single"/>
        </w:rPr>
      </w:pPr>
      <w:r w:rsidRPr="009661F8">
        <w:rPr>
          <w:rFonts w:cs="Calibri"/>
          <w:u w:val="single"/>
        </w:rPr>
        <w:t>Un aumento</w:t>
      </w:r>
      <w:r w:rsidR="009661F8" w:rsidRPr="009661F8">
        <w:rPr>
          <w:rFonts w:cs="Calibri"/>
          <w:u w:val="single"/>
        </w:rPr>
        <w:t xml:space="preserve"> con referencia al año anterior.</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54753D6C" w:rsidR="007D1E76" w:rsidRPr="00DD7C22" w:rsidRDefault="00DD7C22"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5CEA19C2" w:rsidR="007D1E76" w:rsidRPr="00DD7C22" w:rsidRDefault="00DD7C22" w:rsidP="00CB41C4">
      <w:pPr>
        <w:tabs>
          <w:tab w:val="left" w:leader="underscore" w:pos="9639"/>
        </w:tabs>
        <w:spacing w:after="0" w:line="240" w:lineRule="auto"/>
        <w:jc w:val="both"/>
        <w:rPr>
          <w:rFonts w:cs="Calibri"/>
          <w:u w:val="single"/>
        </w:rPr>
      </w:pPr>
      <w:r w:rsidRPr="00DD7C22">
        <w:rPr>
          <w:rFonts w:cs="Calibri"/>
          <w:u w:val="single"/>
        </w:rPr>
        <w:t xml:space="preserve">Esta nota no le aplica al ente público </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72E143AB" w:rsidR="007D1E76" w:rsidRPr="00DD7C22" w:rsidRDefault="00DD7C22" w:rsidP="00CB41C4">
      <w:pPr>
        <w:tabs>
          <w:tab w:val="left" w:leader="underscore" w:pos="9639"/>
        </w:tabs>
        <w:spacing w:after="0" w:line="240" w:lineRule="auto"/>
        <w:jc w:val="both"/>
        <w:rPr>
          <w:rFonts w:cs="Calibri"/>
          <w:u w:val="single"/>
        </w:rPr>
      </w:pPr>
      <w:r w:rsidRPr="00DD7C22">
        <w:rPr>
          <w:rFonts w:cs="Calibri"/>
          <w:u w:val="single"/>
        </w:rPr>
        <w:t xml:space="preserve">Lineamientos de racionalidad y austeridad </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54FAE835" w:rsidR="007D1E76" w:rsidRPr="00DD7C22" w:rsidRDefault="00DD7C22" w:rsidP="00CB41C4">
      <w:pPr>
        <w:tabs>
          <w:tab w:val="left" w:leader="underscore" w:pos="9639"/>
        </w:tabs>
        <w:spacing w:after="0" w:line="240" w:lineRule="auto"/>
        <w:jc w:val="both"/>
        <w:rPr>
          <w:rFonts w:cs="Calibri"/>
          <w:u w:val="single"/>
        </w:rPr>
      </w:pPr>
      <w:r w:rsidRPr="00DD7C22">
        <w:rPr>
          <w:rFonts w:cs="Calibri"/>
          <w:u w:val="single"/>
        </w:rPr>
        <w:lastRenderedPageBreak/>
        <w:t>Implementación</w:t>
      </w:r>
      <w:r>
        <w:rPr>
          <w:rFonts w:cs="Calibri"/>
          <w:u w:val="single"/>
        </w:rPr>
        <w:t xml:space="preserve"> del </w:t>
      </w:r>
      <w:r w:rsidRPr="00DD7C22">
        <w:rPr>
          <w:rFonts w:cs="Calibri"/>
          <w:u w:val="single"/>
        </w:rPr>
        <w:t>P</w:t>
      </w:r>
      <w:r>
        <w:rPr>
          <w:rFonts w:cs="Calibri"/>
          <w:u w:val="single"/>
        </w:rPr>
        <w:t>BR basado  en resultado.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6CA20C3" w14:textId="6E78FD3D" w:rsidR="00C6701E" w:rsidRPr="00C6701E" w:rsidRDefault="00EA44EC" w:rsidP="00C6701E">
      <w:pPr>
        <w:tabs>
          <w:tab w:val="left" w:leader="underscore" w:pos="9639"/>
        </w:tabs>
        <w:spacing w:after="0" w:line="240" w:lineRule="auto"/>
        <w:jc w:val="both"/>
        <w:rPr>
          <w:rFonts w:cs="Calibri"/>
          <w:u w:val="single"/>
        </w:rPr>
      </w:pPr>
      <w:r w:rsidRPr="00EA44EC">
        <w:rPr>
          <w:rFonts w:cs="Calibri"/>
          <w:u w:val="single"/>
        </w:rPr>
        <w:t xml:space="preserve">Esta nota no le aplica al ente </w:t>
      </w:r>
      <w:r w:rsidR="00FB1B66" w:rsidRPr="00EA44EC">
        <w:rPr>
          <w:rFonts w:cs="Calibri"/>
          <w:u w:val="single"/>
        </w:rPr>
        <w:t>público.</w:t>
      </w:r>
      <w:bookmarkStart w:id="16" w:name="_GoBack"/>
      <w:bookmarkEnd w:id="16"/>
    </w:p>
    <w:p w14:paraId="182F3196" w14:textId="77777777" w:rsidR="00C6701E" w:rsidRPr="00EA44EC" w:rsidRDefault="00C6701E" w:rsidP="00CB41C4">
      <w:pPr>
        <w:tabs>
          <w:tab w:val="left" w:leader="underscore" w:pos="9639"/>
        </w:tabs>
        <w:spacing w:after="0" w:line="240" w:lineRule="auto"/>
        <w:jc w:val="both"/>
        <w:rPr>
          <w:rFonts w:cs="Calibri"/>
          <w:u w:val="single"/>
        </w:rPr>
      </w:pP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D5E00" w14:textId="77777777" w:rsidR="00B82E2D" w:rsidRDefault="00B82E2D" w:rsidP="00E00323">
      <w:pPr>
        <w:spacing w:after="0" w:line="240" w:lineRule="auto"/>
      </w:pPr>
      <w:r>
        <w:separator/>
      </w:r>
    </w:p>
  </w:endnote>
  <w:endnote w:type="continuationSeparator" w:id="0">
    <w:p w14:paraId="0CFE1BB6" w14:textId="77777777" w:rsidR="00B82E2D" w:rsidRDefault="00B82E2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C6701E" w:rsidRPr="00C6701E">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647BB" w14:textId="77777777" w:rsidR="00B82E2D" w:rsidRDefault="00B82E2D" w:rsidP="00E00323">
      <w:pPr>
        <w:spacing w:after="0" w:line="240" w:lineRule="auto"/>
      </w:pPr>
      <w:r>
        <w:separator/>
      </w:r>
    </w:p>
  </w:footnote>
  <w:footnote w:type="continuationSeparator" w:id="0">
    <w:p w14:paraId="1E48D4C2" w14:textId="77777777" w:rsidR="00B82E2D" w:rsidRDefault="00B82E2D"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0958A4BE" w:rsidR="00154BA3" w:rsidRDefault="009F0CD8" w:rsidP="00A4610E">
    <w:pPr>
      <w:pStyle w:val="Encabezado"/>
      <w:spacing w:after="0" w:line="240" w:lineRule="auto"/>
      <w:jc w:val="center"/>
    </w:pPr>
    <w:r>
      <w:t>MUNICIPIO DE XICHU GTO</w:t>
    </w:r>
  </w:p>
  <w:p w14:paraId="651A4C4F" w14:textId="5F2C6D31" w:rsidR="00A4610E" w:rsidRDefault="00230647" w:rsidP="00A4610E">
    <w:pPr>
      <w:pStyle w:val="Encabezado"/>
      <w:spacing w:after="0" w:line="240" w:lineRule="auto"/>
      <w:jc w:val="center"/>
    </w:pPr>
    <w:r>
      <w:t>CORRESPONDIENTES AL 31</w:t>
    </w:r>
    <w:r w:rsidR="009F0CD8">
      <w:t xml:space="preserve"> DE </w:t>
    </w:r>
    <w:r>
      <w:t>DICIEMBRE</w:t>
    </w:r>
    <w:r w:rsidR="009F0CD8">
      <w:t xml:space="preserve"> DE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7640B"/>
    <w:multiLevelType w:val="hybridMultilevel"/>
    <w:tmpl w:val="ACCEF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1D47494"/>
    <w:multiLevelType w:val="hybridMultilevel"/>
    <w:tmpl w:val="B10ED456"/>
    <w:lvl w:ilvl="0" w:tplc="F57087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03F2696"/>
    <w:multiLevelType w:val="hybridMultilevel"/>
    <w:tmpl w:val="E5C68C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43464"/>
    <w:rsid w:val="00084EAE"/>
    <w:rsid w:val="00091CE6"/>
    <w:rsid w:val="000B7810"/>
    <w:rsid w:val="000C3365"/>
    <w:rsid w:val="000E7DF2"/>
    <w:rsid w:val="0012405A"/>
    <w:rsid w:val="00154BA3"/>
    <w:rsid w:val="001973A2"/>
    <w:rsid w:val="001C75F2"/>
    <w:rsid w:val="001D2063"/>
    <w:rsid w:val="001D43E9"/>
    <w:rsid w:val="00230647"/>
    <w:rsid w:val="0027492F"/>
    <w:rsid w:val="002E690F"/>
    <w:rsid w:val="003311C2"/>
    <w:rsid w:val="00344FC5"/>
    <w:rsid w:val="003453CA"/>
    <w:rsid w:val="00435A87"/>
    <w:rsid w:val="004A58C8"/>
    <w:rsid w:val="004B14A7"/>
    <w:rsid w:val="004E64DD"/>
    <w:rsid w:val="004F234D"/>
    <w:rsid w:val="00542302"/>
    <w:rsid w:val="0054701E"/>
    <w:rsid w:val="00595C6D"/>
    <w:rsid w:val="005B5531"/>
    <w:rsid w:val="005D3E43"/>
    <w:rsid w:val="005E231E"/>
    <w:rsid w:val="00610280"/>
    <w:rsid w:val="00633170"/>
    <w:rsid w:val="00645B69"/>
    <w:rsid w:val="00657009"/>
    <w:rsid w:val="00681C79"/>
    <w:rsid w:val="006F6E2F"/>
    <w:rsid w:val="0072301F"/>
    <w:rsid w:val="00737CE4"/>
    <w:rsid w:val="007610BC"/>
    <w:rsid w:val="007714AB"/>
    <w:rsid w:val="007B314B"/>
    <w:rsid w:val="007D1E76"/>
    <w:rsid w:val="007D4484"/>
    <w:rsid w:val="00807BBE"/>
    <w:rsid w:val="008122F0"/>
    <w:rsid w:val="0086459F"/>
    <w:rsid w:val="008C3BB8"/>
    <w:rsid w:val="008D1ADD"/>
    <w:rsid w:val="008E076C"/>
    <w:rsid w:val="0092765C"/>
    <w:rsid w:val="009661F8"/>
    <w:rsid w:val="00970344"/>
    <w:rsid w:val="009F0CD8"/>
    <w:rsid w:val="00A03988"/>
    <w:rsid w:val="00A30DDA"/>
    <w:rsid w:val="00A351B1"/>
    <w:rsid w:val="00A4610E"/>
    <w:rsid w:val="00A730E0"/>
    <w:rsid w:val="00AA41E5"/>
    <w:rsid w:val="00AB4A97"/>
    <w:rsid w:val="00AB722B"/>
    <w:rsid w:val="00AE1F6A"/>
    <w:rsid w:val="00B466EB"/>
    <w:rsid w:val="00B62201"/>
    <w:rsid w:val="00B722E7"/>
    <w:rsid w:val="00B82E2D"/>
    <w:rsid w:val="00C24A9B"/>
    <w:rsid w:val="00C6701E"/>
    <w:rsid w:val="00C97E1E"/>
    <w:rsid w:val="00CB41C4"/>
    <w:rsid w:val="00CF1316"/>
    <w:rsid w:val="00D13C44"/>
    <w:rsid w:val="00D57ED2"/>
    <w:rsid w:val="00D81B7F"/>
    <w:rsid w:val="00D975B1"/>
    <w:rsid w:val="00DB46A3"/>
    <w:rsid w:val="00DC1FF8"/>
    <w:rsid w:val="00DD59EA"/>
    <w:rsid w:val="00DD7C22"/>
    <w:rsid w:val="00E00323"/>
    <w:rsid w:val="00E74967"/>
    <w:rsid w:val="00E7559F"/>
    <w:rsid w:val="00EA37F5"/>
    <w:rsid w:val="00EA44EC"/>
    <w:rsid w:val="00EA7915"/>
    <w:rsid w:val="00EB7C79"/>
    <w:rsid w:val="00F46719"/>
    <w:rsid w:val="00F54F6F"/>
    <w:rsid w:val="00F65A92"/>
    <w:rsid w:val="00FB1B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01E"/>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01E"/>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85987">
      <w:bodyDiv w:val="1"/>
      <w:marLeft w:val="0"/>
      <w:marRight w:val="0"/>
      <w:marTop w:val="0"/>
      <w:marBottom w:val="0"/>
      <w:divBdr>
        <w:top w:val="none" w:sz="0" w:space="0" w:color="auto"/>
        <w:left w:val="none" w:sz="0" w:space="0" w:color="auto"/>
        <w:bottom w:val="none" w:sz="0" w:space="0" w:color="auto"/>
        <w:right w:val="none" w:sz="0" w:space="0" w:color="auto"/>
      </w:divBdr>
      <w:divsChild>
        <w:div w:id="1018850482">
          <w:marLeft w:val="0"/>
          <w:marRight w:val="0"/>
          <w:marTop w:val="0"/>
          <w:marBottom w:val="0"/>
          <w:divBdr>
            <w:top w:val="none" w:sz="0" w:space="0" w:color="auto"/>
            <w:left w:val="none" w:sz="0" w:space="0" w:color="auto"/>
            <w:bottom w:val="none" w:sz="0" w:space="0" w:color="auto"/>
            <w:right w:val="none" w:sz="0" w:space="0" w:color="auto"/>
          </w:divBdr>
          <w:divsChild>
            <w:div w:id="580480516">
              <w:marLeft w:val="-225"/>
              <w:marRight w:val="-225"/>
              <w:marTop w:val="0"/>
              <w:marBottom w:val="0"/>
              <w:divBdr>
                <w:top w:val="none" w:sz="0" w:space="0" w:color="auto"/>
                <w:left w:val="none" w:sz="0" w:space="0" w:color="auto"/>
                <w:bottom w:val="none" w:sz="0" w:space="0" w:color="auto"/>
                <w:right w:val="none" w:sz="0" w:space="0" w:color="auto"/>
              </w:divBdr>
              <w:divsChild>
                <w:div w:id="1635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3833">
      <w:bodyDiv w:val="1"/>
      <w:marLeft w:val="0"/>
      <w:marRight w:val="0"/>
      <w:marTop w:val="0"/>
      <w:marBottom w:val="0"/>
      <w:divBdr>
        <w:top w:val="none" w:sz="0" w:space="0" w:color="auto"/>
        <w:left w:val="none" w:sz="0" w:space="0" w:color="auto"/>
        <w:bottom w:val="none" w:sz="0" w:space="0" w:color="auto"/>
        <w:right w:val="none" w:sz="0" w:space="0" w:color="auto"/>
      </w:divBdr>
      <w:divsChild>
        <w:div w:id="1741826974">
          <w:marLeft w:val="0"/>
          <w:marRight w:val="0"/>
          <w:marTop w:val="0"/>
          <w:marBottom w:val="0"/>
          <w:divBdr>
            <w:top w:val="none" w:sz="0" w:space="0" w:color="auto"/>
            <w:left w:val="none" w:sz="0" w:space="0" w:color="auto"/>
            <w:bottom w:val="none" w:sz="0" w:space="0" w:color="auto"/>
            <w:right w:val="none" w:sz="0" w:space="0" w:color="auto"/>
          </w:divBdr>
        </w:div>
        <w:div w:id="1454445397">
          <w:marLeft w:val="-225"/>
          <w:marRight w:val="-225"/>
          <w:marTop w:val="0"/>
          <w:marBottom w:val="0"/>
          <w:divBdr>
            <w:top w:val="none" w:sz="0" w:space="0" w:color="auto"/>
            <w:left w:val="none" w:sz="0" w:space="0" w:color="auto"/>
            <w:bottom w:val="none" w:sz="0" w:space="0" w:color="auto"/>
            <w:right w:val="none" w:sz="0" w:space="0" w:color="auto"/>
          </w:divBdr>
        </w:div>
      </w:divsChild>
    </w:div>
    <w:div w:id="189041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19333C-252D-41CF-AF40-8F9A82BB1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2795</Words>
  <Characters>15374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18133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GABRIELA</cp:lastModifiedBy>
  <cp:revision>9</cp:revision>
  <dcterms:created xsi:type="dcterms:W3CDTF">2019-05-08T15:35:00Z</dcterms:created>
  <dcterms:modified xsi:type="dcterms:W3CDTF">2020-04-27T14:31:00Z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